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80" w:line="276" w:lineRule="auto"/>
        <w:rPr>
          <w:rFonts w:ascii="Proxima Nova" w:cs="Proxima Nova" w:eastAsia="Proxima Nova" w:hAnsi="Proxima Nova"/>
          <w:i w:val="1"/>
          <w:sz w:val="36"/>
          <w:szCs w:val="36"/>
        </w:rPr>
      </w:pPr>
      <w:r w:rsidDel="00000000" w:rsidR="00000000" w:rsidRPr="00000000">
        <w:rPr>
          <w:rFonts w:ascii="Proxima Nova" w:cs="Proxima Nova" w:eastAsia="Proxima Nova" w:hAnsi="Proxima Nova"/>
          <w:b w:val="1"/>
          <w:color w:val="355f5d"/>
          <w:sz w:val="36"/>
          <w:szCs w:val="36"/>
          <w:rtl w:val="0"/>
        </w:rPr>
        <w:br w:type="textWrapping"/>
        <w:t xml:space="preserve">Tactic: Hosting Engaging Panels</w:t>
      </w:r>
      <w:r w:rsidDel="00000000" w:rsidR="00000000" w:rsidRPr="00000000">
        <w:rPr>
          <w:rtl w:val="0"/>
        </w:rPr>
      </w:r>
    </w:p>
    <w:p w:rsidR="00000000" w:rsidDel="00000000" w:rsidP="00000000" w:rsidRDefault="00000000" w:rsidRPr="00000000" w14:paraId="00000002">
      <w:pPr>
        <w:spacing w:after="80" w:line="276" w:lineRule="auto"/>
        <w:rPr>
          <w:rFonts w:ascii="Proxima Nova" w:cs="Proxima Nova" w:eastAsia="Proxima Nova" w:hAnsi="Proxima Nova"/>
          <w:i w:val="1"/>
        </w:rPr>
      </w:pPr>
      <w:r w:rsidDel="00000000" w:rsidR="00000000" w:rsidRPr="00000000">
        <w:rPr>
          <w:rFonts w:ascii="Proxima Nova" w:cs="Proxima Nova" w:eastAsia="Proxima Nova" w:hAnsi="Proxima Nova"/>
          <w:i w:val="1"/>
          <w:rtl w:val="0"/>
        </w:rPr>
        <w:t xml:space="preserve">Keep panels dynamic and interactive so audiences stay engaged, learn something new, and feel inspired to take action—not check their phones.</w:t>
      </w:r>
      <w:r w:rsidDel="00000000" w:rsidR="00000000" w:rsidRPr="00000000">
        <w:rPr>
          <w:rtl w:val="0"/>
        </w:rPr>
      </w:r>
    </w:p>
    <w:p w:rsidR="00000000" w:rsidDel="00000000" w:rsidP="00000000" w:rsidRDefault="00000000" w:rsidRPr="00000000" w14:paraId="00000003">
      <w:pPr>
        <w:spacing w:after="80" w:before="200" w:lineRule="auto"/>
        <w:rPr>
          <w:rFonts w:ascii="Proxima Nova" w:cs="Proxima Nova" w:eastAsia="Proxima Nova" w:hAnsi="Proxima Nova"/>
        </w:rPr>
      </w:pPr>
      <w:r w:rsidDel="00000000" w:rsidR="00000000" w:rsidRPr="00000000">
        <w:rPr>
          <w:rFonts w:ascii="Proxima Nova" w:cs="Proxima Nova" w:eastAsia="Proxima Nova" w:hAnsi="Proxima Nova"/>
          <w:b w:val="1"/>
          <w:color w:val="355f5d"/>
          <w:sz w:val="26"/>
          <w:szCs w:val="26"/>
          <w:rtl w:val="0"/>
        </w:rPr>
        <w:t xml:space="preserve">When to Use It: </w:t>
      </w:r>
      <w:r w:rsidDel="00000000" w:rsidR="00000000" w:rsidRPr="00000000">
        <w:rPr>
          <w:rFonts w:ascii="Proxima Nova" w:cs="Proxima Nova" w:eastAsia="Proxima Nova" w:hAnsi="Proxima Nova"/>
          <w:rtl w:val="0"/>
        </w:rPr>
        <w:br w:type="textWrapping"/>
      </w:r>
      <w:r w:rsidDel="00000000" w:rsidR="00000000" w:rsidRPr="00000000">
        <w:rPr>
          <w:rFonts w:ascii="Proxima Nova" w:cs="Proxima Nova" w:eastAsia="Proxima Nova" w:hAnsi="Proxima Nova"/>
          <w:rtl w:val="0"/>
        </w:rPr>
        <w:t xml:space="preserve">When you want to</w:t>
      </w:r>
      <w:r w:rsidDel="00000000" w:rsidR="00000000" w:rsidRPr="00000000">
        <w:rPr>
          <w:rFonts w:ascii="Proxima Nova" w:cs="Proxima Nova" w:eastAsia="Proxima Nova" w:hAnsi="Proxima Nova"/>
          <w:rtl w:val="0"/>
        </w:rPr>
        <w:t xml:space="preserve"> showcase multiple voices on a topic, or seed dialogue for the group</w:t>
      </w:r>
      <w:r w:rsidDel="00000000" w:rsidR="00000000" w:rsidRPr="00000000">
        <w:rPr>
          <w:rFonts w:ascii="Proxima Nova" w:cs="Proxima Nova" w:eastAsia="Proxima Nova" w:hAnsi="Proxima Nova"/>
          <w:rtl w:val="0"/>
        </w:rPr>
        <w:t xml:space="preserve">. We suggest that panels are used as a jumping-off point for audience participation and outcome-based discussion, rather than the main event.</w:t>
      </w:r>
    </w:p>
    <w:p w:rsidR="00000000" w:rsidDel="00000000" w:rsidP="00000000" w:rsidRDefault="00000000" w:rsidRPr="00000000" w14:paraId="00000004">
      <w:pPr>
        <w:spacing w:after="200" w:before="240" w:line="256.8" w:lineRule="auto"/>
        <w:jc w:val="both"/>
        <w:rPr>
          <w:rFonts w:ascii="Proxima Nova" w:cs="Proxima Nova" w:eastAsia="Proxima Nova" w:hAnsi="Proxima Nova"/>
          <w:b w:val="1"/>
        </w:rPr>
      </w:pPr>
      <w:r w:rsidDel="00000000" w:rsidR="00000000" w:rsidRPr="00000000">
        <w:rPr>
          <w:rFonts w:ascii="Proxima Nova" w:cs="Proxima Nova" w:eastAsia="Proxima Nova" w:hAnsi="Proxima Nova"/>
          <w:b w:val="1"/>
          <w:color w:val="355f5d"/>
          <w:sz w:val="26"/>
          <w:szCs w:val="26"/>
          <w:rtl w:val="0"/>
        </w:rPr>
        <w:t xml:space="preserve">How it Works: </w:t>
      </w:r>
      <w:r w:rsidDel="00000000" w:rsidR="00000000" w:rsidRPr="00000000">
        <w:rPr>
          <w:rtl w:val="0"/>
        </w:rPr>
      </w:r>
    </w:p>
    <w:p w:rsidR="00000000" w:rsidDel="00000000" w:rsidP="00000000" w:rsidRDefault="00000000" w:rsidRPr="00000000" w14:paraId="00000005">
      <w:pPr>
        <w:numPr>
          <w:ilvl w:val="0"/>
          <w:numId w:val="2"/>
        </w:numPr>
        <w:spacing w:after="0" w:afterAutospacing="0" w:before="240" w:line="240" w:lineRule="auto"/>
        <w:ind w:left="720" w:hanging="360"/>
        <w:rPr>
          <w:rFonts w:ascii="Proxima Nova" w:cs="Proxima Nova" w:eastAsia="Proxima Nova" w:hAnsi="Proxima Nova"/>
        </w:rPr>
      </w:pPr>
      <w:bookmarkStart w:colFirst="0" w:colLast="0" w:name="_2zqvber45gd6" w:id="0"/>
      <w:bookmarkEnd w:id="0"/>
      <w:r w:rsidDel="00000000" w:rsidR="00000000" w:rsidRPr="00000000">
        <w:rPr>
          <w:rFonts w:ascii="Proxima Nova" w:cs="Proxima Nova" w:eastAsia="Proxima Nova" w:hAnsi="Proxima Nova"/>
          <w:b w:val="1"/>
          <w:rtl w:val="0"/>
        </w:rPr>
        <w:t xml:space="preserve">Match purpose to audience.</w:t>
      </w:r>
      <w:r w:rsidDel="00000000" w:rsidR="00000000" w:rsidRPr="00000000">
        <w:rPr>
          <w:rFonts w:ascii="Proxima Nova" w:cs="Proxima Nova" w:eastAsia="Proxima Nova" w:hAnsi="Proxima Nova"/>
          <w:rtl w:val="0"/>
        </w:rPr>
        <w:t xml:space="preserve"> With general audiences, aim for broad learning relevant and interesting to all. With technical groups, go deep on one issue or surface unique insights to ensure lessons build on their existing expertise.</w:t>
      </w:r>
    </w:p>
    <w:p w:rsidR="00000000" w:rsidDel="00000000" w:rsidP="00000000" w:rsidRDefault="00000000" w:rsidRPr="00000000" w14:paraId="00000006">
      <w:pPr>
        <w:numPr>
          <w:ilvl w:val="0"/>
          <w:numId w:val="2"/>
        </w:numPr>
        <w:spacing w:after="0" w:afterAutospacing="0" w:before="0" w:beforeAutospacing="0" w:line="240" w:lineRule="auto"/>
        <w:ind w:left="720" w:hanging="360"/>
        <w:rPr>
          <w:rFonts w:ascii="Proxima Nova" w:cs="Proxima Nova" w:eastAsia="Proxima Nova" w:hAnsi="Proxima Nova"/>
        </w:rPr>
      </w:pPr>
      <w:bookmarkStart w:colFirst="0" w:colLast="0" w:name="_2zqvber45gd6" w:id="0"/>
      <w:bookmarkEnd w:id="0"/>
      <w:r w:rsidDel="00000000" w:rsidR="00000000" w:rsidRPr="00000000">
        <w:rPr>
          <w:rFonts w:ascii="Proxima Nova" w:cs="Proxima Nova" w:eastAsia="Proxima Nova" w:hAnsi="Proxima Nova"/>
          <w:b w:val="1"/>
          <w:rtl w:val="0"/>
        </w:rPr>
        <w:t xml:space="preserve">Prep your moderator.</w:t>
      </w:r>
      <w:r w:rsidDel="00000000" w:rsidR="00000000" w:rsidRPr="00000000">
        <w:rPr>
          <w:rFonts w:ascii="Proxima Nova" w:cs="Proxima Nova" w:eastAsia="Proxima Nova" w:hAnsi="Proxima Nova"/>
          <w:rtl w:val="0"/>
        </w:rPr>
        <w:t xml:space="preserve"> They should editorialize, draw connections, and press for clarity—not just ping-pong questions and answers. Think about the power of a journalist knowing each panelist’s work in depth, and being able to ask questions that panelists haven’t already answered before. </w:t>
      </w:r>
    </w:p>
    <w:p w:rsidR="00000000" w:rsidDel="00000000" w:rsidP="00000000" w:rsidRDefault="00000000" w:rsidRPr="00000000" w14:paraId="00000007">
      <w:pPr>
        <w:numPr>
          <w:ilvl w:val="0"/>
          <w:numId w:val="2"/>
        </w:numPr>
        <w:spacing w:after="0" w:afterAutospacing="0" w:before="0" w:beforeAutospacing="0" w:line="240" w:lineRule="auto"/>
        <w:ind w:left="720" w:hanging="360"/>
        <w:rPr>
          <w:rFonts w:ascii="Proxima Nova" w:cs="Proxima Nova" w:eastAsia="Proxima Nova" w:hAnsi="Proxima Nova"/>
        </w:rPr>
      </w:pPr>
      <w:bookmarkStart w:colFirst="0" w:colLast="0" w:name="_2zqvber45gd6" w:id="0"/>
      <w:bookmarkEnd w:id="0"/>
      <w:r w:rsidDel="00000000" w:rsidR="00000000" w:rsidRPr="00000000">
        <w:rPr>
          <w:rFonts w:ascii="Proxima Nova" w:cs="Proxima Nova" w:eastAsia="Proxima Nova" w:hAnsi="Proxima Nova"/>
          <w:b w:val="1"/>
          <w:rtl w:val="0"/>
        </w:rPr>
        <w:t xml:space="preserve">Push panelists to “take a stand.”</w:t>
      </w:r>
      <w:r w:rsidDel="00000000" w:rsidR="00000000" w:rsidRPr="00000000">
        <w:rPr>
          <w:rFonts w:ascii="Proxima Nova" w:cs="Proxima Nova" w:eastAsia="Proxima Nova" w:hAnsi="Proxima Nova"/>
          <w:rtl w:val="0"/>
        </w:rPr>
        <w:t xml:space="preserve"> Ask them to make provocative or counterintuitive claims, not just comprehensive overviews.</w:t>
      </w:r>
    </w:p>
    <w:p w:rsidR="00000000" w:rsidDel="00000000" w:rsidP="00000000" w:rsidRDefault="00000000" w:rsidRPr="00000000" w14:paraId="00000008">
      <w:pPr>
        <w:numPr>
          <w:ilvl w:val="0"/>
          <w:numId w:val="2"/>
        </w:numPr>
        <w:spacing w:after="0" w:afterAutospacing="0" w:before="0" w:beforeAutospacing="0" w:line="240" w:lineRule="auto"/>
        <w:ind w:left="720" w:hanging="360"/>
        <w:rPr>
          <w:rFonts w:ascii="Proxima Nova" w:cs="Proxima Nova" w:eastAsia="Proxima Nova" w:hAnsi="Proxima Nova"/>
        </w:rPr>
      </w:pPr>
      <w:bookmarkStart w:colFirst="0" w:colLast="0" w:name="_2zqvber45gd6" w:id="0"/>
      <w:bookmarkEnd w:id="0"/>
      <w:r w:rsidDel="00000000" w:rsidR="00000000" w:rsidRPr="00000000">
        <w:rPr>
          <w:rFonts w:ascii="Proxima Nova" w:cs="Proxima Nova" w:eastAsia="Proxima Nova" w:hAnsi="Proxima Nova"/>
          <w:b w:val="1"/>
          <w:rtl w:val="0"/>
        </w:rPr>
        <w:t xml:space="preserve">Go deep over going broad.</w:t>
      </w:r>
      <w:r w:rsidDel="00000000" w:rsidR="00000000" w:rsidRPr="00000000">
        <w:rPr>
          <w:rFonts w:ascii="Proxima Nova" w:cs="Proxima Nova" w:eastAsia="Proxima Nova" w:hAnsi="Proxima Nova"/>
          <w:rtl w:val="0"/>
        </w:rPr>
        <w:t xml:space="preserve"> Frame the panel around a single big issue, then bring in speakers who can tackle it from different angles.</w:t>
      </w:r>
    </w:p>
    <w:p w:rsidR="00000000" w:rsidDel="00000000" w:rsidP="00000000" w:rsidRDefault="00000000" w:rsidRPr="00000000" w14:paraId="00000009">
      <w:pPr>
        <w:numPr>
          <w:ilvl w:val="0"/>
          <w:numId w:val="2"/>
        </w:numPr>
        <w:spacing w:after="0" w:afterAutospacing="0" w:before="0" w:beforeAutospacing="0" w:line="240" w:lineRule="auto"/>
        <w:ind w:left="720" w:hanging="360"/>
        <w:rPr>
          <w:rFonts w:ascii="Proxima Nova" w:cs="Proxima Nova" w:eastAsia="Proxima Nova" w:hAnsi="Proxima Nova"/>
        </w:rPr>
      </w:pPr>
      <w:bookmarkStart w:colFirst="0" w:colLast="0" w:name="_2zqvber45gd6" w:id="0"/>
      <w:bookmarkEnd w:id="0"/>
      <w:r w:rsidDel="00000000" w:rsidR="00000000" w:rsidRPr="00000000">
        <w:rPr>
          <w:rFonts w:ascii="Proxima Nova" w:cs="Proxima Nova" w:eastAsia="Proxima Nova" w:hAnsi="Proxima Nova"/>
          <w:b w:val="1"/>
          <w:rtl w:val="0"/>
        </w:rPr>
        <w:t xml:space="preserve">Seed the dialogue.</w:t>
      </w:r>
      <w:r w:rsidDel="00000000" w:rsidR="00000000" w:rsidRPr="00000000">
        <w:rPr>
          <w:rFonts w:ascii="Proxima Nova" w:cs="Proxima Nova" w:eastAsia="Proxima Nova" w:hAnsi="Proxima Nova"/>
          <w:rtl w:val="0"/>
        </w:rPr>
        <w:t xml:space="preserve"> Treat the panel as a setup. Plan for audience interaction afterward—breakout into small discussion groups, invite turn-to-your-neighbor reflections, or pass around written prompts.</w:t>
      </w:r>
    </w:p>
    <w:p w:rsidR="00000000" w:rsidDel="00000000" w:rsidP="00000000" w:rsidRDefault="00000000" w:rsidRPr="00000000" w14:paraId="0000000A">
      <w:pPr>
        <w:numPr>
          <w:ilvl w:val="0"/>
          <w:numId w:val="2"/>
        </w:numPr>
        <w:spacing w:after="240" w:before="0" w:beforeAutospacing="0" w:line="240" w:lineRule="auto"/>
        <w:ind w:left="720" w:hanging="360"/>
        <w:rPr>
          <w:rFonts w:ascii="Proxima Nova" w:cs="Proxima Nova" w:eastAsia="Proxima Nova" w:hAnsi="Proxima Nova"/>
        </w:rPr>
      </w:pPr>
      <w:bookmarkStart w:colFirst="0" w:colLast="0" w:name="_2zqvber45gd6" w:id="0"/>
      <w:bookmarkEnd w:id="0"/>
      <w:r w:rsidDel="00000000" w:rsidR="00000000" w:rsidRPr="00000000">
        <w:rPr>
          <w:rFonts w:ascii="Proxima Nova" w:cs="Proxima Nova" w:eastAsia="Proxima Nova" w:hAnsi="Proxima Nova"/>
          <w:b w:val="1"/>
          <w:rtl w:val="0"/>
        </w:rPr>
        <w:t xml:space="preserve">Translate to action.</w:t>
      </w:r>
      <w:r w:rsidDel="00000000" w:rsidR="00000000" w:rsidRPr="00000000">
        <w:rPr>
          <w:rFonts w:ascii="Proxima Nova" w:cs="Proxima Nova" w:eastAsia="Proxima Nova" w:hAnsi="Proxima Nova"/>
          <w:rtl w:val="0"/>
        </w:rPr>
        <w:t xml:space="preserve"> Always link back to “what this means for us.” Leave people with a specific question or a concrete next step.</w:t>
      </w:r>
      <w:r w:rsidDel="00000000" w:rsidR="00000000" w:rsidRPr="00000000">
        <w:rPr>
          <w:rtl w:val="0"/>
        </w:rPr>
      </w:r>
    </w:p>
    <w:p w:rsidR="00000000" w:rsidDel="00000000" w:rsidP="00000000" w:rsidRDefault="00000000" w:rsidRPr="00000000" w14:paraId="0000000B">
      <w:pPr>
        <w:pStyle w:val="Heading3"/>
        <w:keepNext w:val="0"/>
        <w:keepLines w:val="0"/>
        <w:spacing w:before="280" w:line="256.7994545454545" w:lineRule="auto"/>
        <w:jc w:val="both"/>
        <w:rPr>
          <w:rFonts w:ascii="Proxima Nova" w:cs="Proxima Nova" w:eastAsia="Proxima Nova" w:hAnsi="Proxima Nova"/>
          <w:b w:val="1"/>
          <w:color w:val="000000"/>
          <w:sz w:val="26"/>
          <w:szCs w:val="26"/>
        </w:rPr>
      </w:pPr>
      <w:bookmarkStart w:colFirst="0" w:colLast="0" w:name="_8rzguzrp2zsu" w:id="1"/>
      <w:bookmarkEnd w:id="1"/>
      <w:r w:rsidDel="00000000" w:rsidR="00000000" w:rsidRPr="00000000">
        <w:rPr>
          <w:rFonts w:ascii="Proxima Nova" w:cs="Proxima Nova" w:eastAsia="Proxima Nova" w:hAnsi="Proxima Nova"/>
          <w:b w:val="1"/>
          <w:color w:val="355f5d"/>
          <w:sz w:val="26"/>
          <w:szCs w:val="26"/>
          <w:rtl w:val="0"/>
        </w:rPr>
        <w:t xml:space="preserve">Helpful Tips:</w:t>
      </w:r>
      <w:r w:rsidDel="00000000" w:rsidR="00000000" w:rsidRPr="00000000">
        <w:rPr>
          <w:rtl w:val="0"/>
        </w:rPr>
      </w:r>
    </w:p>
    <w:p w:rsidR="00000000" w:rsidDel="00000000" w:rsidP="00000000" w:rsidRDefault="00000000" w:rsidRPr="00000000" w14:paraId="0000000C">
      <w:pPr>
        <w:numPr>
          <w:ilvl w:val="0"/>
          <w:numId w:val="3"/>
        </w:numPr>
        <w:spacing w:after="0" w:afterAutospacing="0" w:before="240" w:line="256.7994545454545" w:lineRule="auto"/>
        <w:ind w:left="720" w:hanging="360"/>
      </w:pPr>
      <w:r w:rsidDel="00000000" w:rsidR="00000000" w:rsidRPr="00000000">
        <w:rPr>
          <w:rFonts w:ascii="Proxima Nova" w:cs="Proxima Nova" w:eastAsia="Proxima Nova" w:hAnsi="Proxima Nova"/>
          <w:rtl w:val="0"/>
        </w:rPr>
        <w:t xml:space="preserve">Vet panelists for dynamic speaking ability </w:t>
      </w:r>
      <w:r w:rsidDel="00000000" w:rsidR="00000000" w:rsidRPr="00000000">
        <w:rPr>
          <w:rFonts w:ascii="Proxima Nova" w:cs="Proxima Nova" w:eastAsia="Proxima Nova" w:hAnsi="Proxima Nova"/>
          <w:i w:val="1"/>
          <w:rtl w:val="0"/>
        </w:rPr>
        <w:t xml:space="preserve">as well as</w:t>
      </w:r>
      <w:r w:rsidDel="00000000" w:rsidR="00000000" w:rsidRPr="00000000">
        <w:rPr>
          <w:rFonts w:ascii="Proxima Nova" w:cs="Proxima Nova" w:eastAsia="Proxima Nova" w:hAnsi="Proxima Nova"/>
          <w:rtl w:val="0"/>
        </w:rPr>
        <w:t xml:space="preserve"> content expertise. (Dry speakers = disengaged audience.) Search online for other talks or panels they’ve delivered.</w:t>
      </w:r>
    </w:p>
    <w:p w:rsidR="00000000" w:rsidDel="00000000" w:rsidP="00000000" w:rsidRDefault="00000000" w:rsidRPr="00000000" w14:paraId="0000000D">
      <w:pPr>
        <w:numPr>
          <w:ilvl w:val="0"/>
          <w:numId w:val="3"/>
        </w:numPr>
        <w:spacing w:after="0" w:afterAutospacing="0" w:before="0" w:beforeAutospacing="0" w:line="256.7994545454545" w:lineRule="auto"/>
        <w:ind w:left="720" w:hanging="360"/>
      </w:pPr>
      <w:r w:rsidDel="00000000" w:rsidR="00000000" w:rsidRPr="00000000">
        <w:rPr>
          <w:rFonts w:ascii="Proxima Nova" w:cs="Proxima Nova" w:eastAsia="Proxima Nova" w:hAnsi="Proxima Nova"/>
          <w:rtl w:val="0"/>
        </w:rPr>
        <w:t xml:space="preserve">Tell stories and curate real-life examples in advance.</w:t>
      </w:r>
    </w:p>
    <w:p w:rsidR="00000000" w:rsidDel="00000000" w:rsidP="00000000" w:rsidRDefault="00000000" w:rsidRPr="00000000" w14:paraId="0000000E">
      <w:pPr>
        <w:numPr>
          <w:ilvl w:val="0"/>
          <w:numId w:val="3"/>
        </w:numPr>
        <w:spacing w:after="0" w:afterAutospacing="0" w:before="0" w:beforeAutospacing="0" w:line="256.7994545454545" w:lineRule="auto"/>
        <w:ind w:left="720" w:hanging="360"/>
      </w:pPr>
      <w:r w:rsidDel="00000000" w:rsidR="00000000" w:rsidRPr="00000000">
        <w:rPr>
          <w:rFonts w:ascii="Proxima Nova" w:cs="Proxima Nova" w:eastAsia="Proxima Nova" w:hAnsi="Proxima Nova"/>
          <w:rtl w:val="0"/>
        </w:rPr>
        <w:t xml:space="preserve">Ask questions that drive towards specific answers, rather than sweeping reflections, like: “What’s the one thing you want this group to understand about the opportunities and barriers in this space?”</w:t>
      </w:r>
    </w:p>
    <w:p w:rsidR="00000000" w:rsidDel="00000000" w:rsidP="00000000" w:rsidRDefault="00000000" w:rsidRPr="00000000" w14:paraId="0000000F">
      <w:pPr>
        <w:numPr>
          <w:ilvl w:val="0"/>
          <w:numId w:val="3"/>
        </w:numPr>
        <w:spacing w:after="0" w:afterAutospacing="0" w:before="0" w:beforeAutospacing="0" w:line="256.7994545454545" w:lineRule="auto"/>
        <w:ind w:left="720" w:hanging="360"/>
      </w:pPr>
      <w:r w:rsidDel="00000000" w:rsidR="00000000" w:rsidRPr="00000000">
        <w:rPr>
          <w:rFonts w:ascii="Proxima Nova" w:cs="Proxima Nova" w:eastAsia="Proxima Nova" w:hAnsi="Proxima Nova"/>
          <w:rtl w:val="0"/>
        </w:rPr>
        <w:t xml:space="preserve">Build in interaction throughout. Consider live polls using a tool like Mentimeter, or handouts with reflection questions to guide the listeners attention. </w:t>
      </w:r>
    </w:p>
    <w:p w:rsidR="00000000" w:rsidDel="00000000" w:rsidP="00000000" w:rsidRDefault="00000000" w:rsidRPr="00000000" w14:paraId="00000010">
      <w:pPr>
        <w:numPr>
          <w:ilvl w:val="0"/>
          <w:numId w:val="3"/>
        </w:numPr>
        <w:spacing w:after="0" w:afterAutospacing="0" w:before="0" w:beforeAutospacing="0" w:line="256.7994545454545" w:lineRule="auto"/>
        <w:ind w:left="720" w:hanging="360"/>
      </w:pPr>
      <w:r w:rsidDel="00000000" w:rsidR="00000000" w:rsidRPr="00000000">
        <w:rPr>
          <w:rFonts w:ascii="Proxima Nova" w:cs="Proxima Nova" w:eastAsia="Proxima Nova" w:hAnsi="Proxima Nova"/>
          <w:rtl w:val="0"/>
        </w:rPr>
        <w:t xml:space="preserve">Close with a challenge or open question for all participants to carry forward.</w:t>
      </w:r>
    </w:p>
    <w:p w:rsidR="00000000" w:rsidDel="00000000" w:rsidP="00000000" w:rsidRDefault="00000000" w:rsidRPr="00000000" w14:paraId="00000011">
      <w:pPr>
        <w:numPr>
          <w:ilvl w:val="0"/>
          <w:numId w:val="3"/>
        </w:numPr>
        <w:spacing w:after="240" w:before="0" w:beforeAutospacing="0" w:line="256.7994545454545" w:lineRule="auto"/>
        <w:ind w:left="720" w:hanging="360"/>
      </w:pPr>
      <w:hyperlink r:id="rId6">
        <w:r w:rsidDel="00000000" w:rsidR="00000000" w:rsidRPr="00000000">
          <w:rPr>
            <w:rFonts w:ascii="Proxima Nova" w:cs="Proxima Nova" w:eastAsia="Proxima Nova" w:hAnsi="Proxima Nova"/>
            <w:color w:val="1155cc"/>
            <w:u w:val="single"/>
            <w:rtl w:val="0"/>
          </w:rPr>
          <w:t xml:space="preserve">Read this article</w:t>
        </w:r>
      </w:hyperlink>
      <w:hyperlink r:id="rId7">
        <w:r w:rsidDel="00000000" w:rsidR="00000000" w:rsidRPr="00000000">
          <w:rPr>
            <w:rFonts w:ascii="Proxima Nova" w:cs="Proxima Nova" w:eastAsia="Proxima Nova" w:hAnsi="Proxima Nova"/>
            <w:i w:val="1"/>
            <w:color w:val="1155cc"/>
            <w:u w:val="single"/>
            <w:rtl w:val="0"/>
          </w:rPr>
          <w:t xml:space="preserve"> Panel’s Don’t Solve Problems </w:t>
        </w:r>
      </w:hyperlink>
      <w:hyperlink r:id="rId8">
        <w:r w:rsidDel="00000000" w:rsidR="00000000" w:rsidRPr="00000000">
          <w:rPr>
            <w:rFonts w:ascii="Proxima Nova" w:cs="Proxima Nova" w:eastAsia="Proxima Nova" w:hAnsi="Proxima Nova"/>
            <w:color w:val="1155cc"/>
            <w:u w:val="single"/>
            <w:rtl w:val="0"/>
          </w:rPr>
          <w:t xml:space="preserve">from </w:t>
        </w:r>
      </w:hyperlink>
      <w:hyperlink r:id="rId9">
        <w:r w:rsidDel="00000000" w:rsidR="00000000" w:rsidRPr="00000000">
          <w:rPr>
            <w:rFonts w:ascii="Proxima Nova" w:cs="Proxima Nova" w:eastAsia="Proxima Nova" w:hAnsi="Proxima Nova"/>
            <w:color w:val="1155cc"/>
            <w:u w:val="single"/>
            <w:rtl w:val="0"/>
          </w:rPr>
          <w:t xml:space="preserve">Zia Khan. </w:t>
        </w:r>
      </w:hyperlink>
      <w:r w:rsidDel="00000000" w:rsidR="00000000" w:rsidRPr="00000000">
        <w:rPr>
          <w:rFonts w:ascii="Proxima Nova" w:cs="Proxima Nova" w:eastAsia="Proxima Nova" w:hAnsi="Proxima Nova"/>
          <w:rtl w:val="0"/>
        </w:rPr>
        <w:br w:type="textWrapping"/>
      </w:r>
    </w:p>
    <w:p w:rsidR="00000000" w:rsidDel="00000000" w:rsidP="00000000" w:rsidRDefault="00000000" w:rsidRPr="00000000" w14:paraId="00000012">
      <w:pPr>
        <w:spacing w:after="240" w:before="240" w:line="256.7994545454545" w:lineRule="auto"/>
        <w:rPr>
          <w:rFonts w:ascii="Proxima Nova" w:cs="Proxima Nova" w:eastAsia="Proxima Nova" w:hAnsi="Proxima Nova"/>
          <w:b w:val="1"/>
          <w:color w:val="355f5d"/>
          <w:sz w:val="26"/>
          <w:szCs w:val="26"/>
        </w:rPr>
      </w:pPr>
      <w:r w:rsidDel="00000000" w:rsidR="00000000" w:rsidRPr="00000000">
        <w:rPr>
          <w:rFonts w:ascii="Proxima Nova" w:cs="Proxima Nova" w:eastAsia="Proxima Nova" w:hAnsi="Proxima Nova"/>
          <w:b w:val="1"/>
          <w:color w:val="355f5d"/>
          <w:sz w:val="26"/>
          <w:szCs w:val="26"/>
          <w:rtl w:val="0"/>
        </w:rPr>
        <w:t xml:space="preserve">Convening Organizer Resources: </w:t>
      </w:r>
      <w:r w:rsidDel="00000000" w:rsidR="00000000" w:rsidRPr="00000000">
        <w:rPr>
          <w:rtl w:val="0"/>
        </w:rPr>
      </w:r>
    </w:p>
    <w:p w:rsidR="00000000" w:rsidDel="00000000" w:rsidP="00000000" w:rsidRDefault="00000000" w:rsidRPr="00000000" w14:paraId="00000013">
      <w:pPr>
        <w:spacing w:after="240" w:before="240" w:line="256.7994545454545" w:lineRule="auto"/>
        <w:ind w:left="0" w:firstLine="0"/>
        <w:rPr>
          <w:rFonts w:ascii="Proxima Nova" w:cs="Proxima Nova" w:eastAsia="Proxima Nova" w:hAnsi="Proxima Nova"/>
          <w:b w:val="1"/>
          <w:color w:val="355f5d"/>
          <w:sz w:val="26"/>
          <w:szCs w:val="26"/>
        </w:rPr>
      </w:pPr>
      <w:r w:rsidDel="00000000" w:rsidR="00000000" w:rsidRPr="00000000">
        <w:rPr>
          <w:rFonts w:ascii="Proxima Nova" w:cs="Proxima Nova" w:eastAsia="Proxima Nova" w:hAnsi="Proxima Nova"/>
          <w:rtl w:val="0"/>
        </w:rPr>
        <w:t xml:space="preserve">Here are a few resources from our Convening Design Playbook that convening organizers may find useful in preparing speakers for a panel. </w:t>
      </w:r>
      <w:r w:rsidDel="00000000" w:rsidR="00000000" w:rsidRPr="00000000">
        <w:rPr>
          <w:rtl w:val="0"/>
        </w:rPr>
      </w:r>
    </w:p>
    <w:p w:rsidR="00000000" w:rsidDel="00000000" w:rsidP="00000000" w:rsidRDefault="00000000" w:rsidRPr="00000000" w14:paraId="00000014">
      <w:pPr>
        <w:numPr>
          <w:ilvl w:val="0"/>
          <w:numId w:val="1"/>
        </w:numPr>
        <w:spacing w:after="0" w:afterAutospacing="0" w:before="240" w:line="256.7994545454545" w:lineRule="auto"/>
        <w:ind w:left="720" w:hanging="360"/>
        <w:rPr>
          <w:rFonts w:ascii="Proxima Nova" w:cs="Proxima Nova" w:eastAsia="Proxima Nova" w:hAnsi="Proxima Nova"/>
          <w:u w:val="none"/>
        </w:rPr>
      </w:pPr>
      <w:hyperlink r:id="rId10">
        <w:r w:rsidDel="00000000" w:rsidR="00000000" w:rsidRPr="00000000">
          <w:rPr>
            <w:rFonts w:ascii="Proxima Nova" w:cs="Proxima Nova" w:eastAsia="Proxima Nova" w:hAnsi="Proxima Nova"/>
            <w:b w:val="1"/>
            <w:color w:val="1155cc"/>
            <w:u w:val="single"/>
            <w:rtl w:val="0"/>
          </w:rPr>
          <w:t xml:space="preserve">Speaker Invitation | </w:t>
        </w:r>
      </w:hyperlink>
      <w:hyperlink r:id="rId11">
        <w:r w:rsidDel="00000000" w:rsidR="00000000" w:rsidRPr="00000000">
          <w:rPr>
            <w:rFonts w:ascii="Proxima Nova" w:cs="Proxima Nova" w:eastAsia="Proxima Nova" w:hAnsi="Proxima Nova"/>
            <w:color w:val="1155cc"/>
            <w:u w:val="single"/>
            <w:rtl w:val="0"/>
          </w:rPr>
          <w:t xml:space="preserve">Editable email template for inviting speakers to join your convening.</w:t>
        </w:r>
      </w:hyperlink>
      <w:r w:rsidDel="00000000" w:rsidR="00000000" w:rsidRPr="00000000">
        <w:rPr>
          <w:rtl w:val="0"/>
        </w:rPr>
      </w:r>
    </w:p>
    <w:p w:rsidR="00000000" w:rsidDel="00000000" w:rsidP="00000000" w:rsidRDefault="00000000" w:rsidRPr="00000000" w14:paraId="00000015">
      <w:pPr>
        <w:numPr>
          <w:ilvl w:val="0"/>
          <w:numId w:val="1"/>
        </w:numPr>
        <w:spacing w:after="0" w:afterAutospacing="0" w:before="0" w:beforeAutospacing="0" w:line="256.7994545454545" w:lineRule="auto"/>
        <w:ind w:left="720" w:hanging="360"/>
        <w:rPr>
          <w:rFonts w:ascii="Proxima Nova" w:cs="Proxima Nova" w:eastAsia="Proxima Nova" w:hAnsi="Proxima Nova"/>
          <w:u w:val="none"/>
        </w:rPr>
      </w:pPr>
      <w:hyperlink r:id="rId12">
        <w:r w:rsidDel="00000000" w:rsidR="00000000" w:rsidRPr="00000000">
          <w:rPr>
            <w:rFonts w:ascii="Proxima Nova" w:cs="Proxima Nova" w:eastAsia="Proxima Nova" w:hAnsi="Proxima Nova"/>
            <w:b w:val="1"/>
            <w:color w:val="1155cc"/>
            <w:u w:val="single"/>
            <w:rtl w:val="0"/>
          </w:rPr>
          <w:t xml:space="preserve">Speaker preparation meeting | </w:t>
        </w:r>
      </w:hyperlink>
      <w:hyperlink r:id="rId13">
        <w:r w:rsidDel="00000000" w:rsidR="00000000" w:rsidRPr="00000000">
          <w:rPr>
            <w:rFonts w:ascii="Proxima Nova" w:cs="Proxima Nova" w:eastAsia="Proxima Nova" w:hAnsi="Proxima Nova"/>
            <w:color w:val="1155cc"/>
            <w:u w:val="single"/>
            <w:rtl w:val="0"/>
          </w:rPr>
          <w:t xml:space="preserve">Agenda template for 1:1 prep conversations with guest speakers. </w:t>
        </w:r>
      </w:hyperlink>
      <w:r w:rsidDel="00000000" w:rsidR="00000000" w:rsidRPr="00000000">
        <w:rPr>
          <w:rtl w:val="0"/>
        </w:rPr>
      </w:r>
    </w:p>
    <w:p w:rsidR="00000000" w:rsidDel="00000000" w:rsidP="00000000" w:rsidRDefault="00000000" w:rsidRPr="00000000" w14:paraId="00000016">
      <w:pPr>
        <w:numPr>
          <w:ilvl w:val="0"/>
          <w:numId w:val="1"/>
        </w:numPr>
        <w:spacing w:after="240" w:before="0" w:beforeAutospacing="0" w:line="256.7994545454545" w:lineRule="auto"/>
        <w:ind w:left="720" w:hanging="360"/>
        <w:rPr>
          <w:rFonts w:ascii="Proxima Nova" w:cs="Proxima Nova" w:eastAsia="Proxima Nova" w:hAnsi="Proxima Nova"/>
          <w:u w:val="none"/>
        </w:rPr>
      </w:pPr>
      <w:hyperlink r:id="rId14">
        <w:r w:rsidDel="00000000" w:rsidR="00000000" w:rsidRPr="00000000">
          <w:rPr>
            <w:rFonts w:ascii="Proxima Nova" w:cs="Proxima Nova" w:eastAsia="Proxima Nova" w:hAnsi="Proxima Nova"/>
            <w:b w:val="1"/>
            <w:color w:val="1155cc"/>
            <w:u w:val="single"/>
            <w:rtl w:val="0"/>
          </w:rPr>
          <w:t xml:space="preserve">Speaker Brief | </w:t>
        </w:r>
      </w:hyperlink>
      <w:hyperlink r:id="rId15">
        <w:r w:rsidDel="00000000" w:rsidR="00000000" w:rsidRPr="00000000">
          <w:rPr>
            <w:rFonts w:ascii="Proxima Nova" w:cs="Proxima Nova" w:eastAsia="Proxima Nova" w:hAnsi="Proxima Nova"/>
            <w:color w:val="1155cc"/>
            <w:u w:val="single"/>
            <w:rtl w:val="0"/>
          </w:rPr>
          <w:t xml:space="preserve"> Editable briefing document outlining speaker roles, session design, and logistics, shared in advance and on the day of the convening.</w:t>
        </w:r>
      </w:hyperlink>
      <w:r w:rsidDel="00000000" w:rsidR="00000000" w:rsidRPr="00000000">
        <w:rPr>
          <w:rtl w:val="0"/>
        </w:rPr>
      </w:r>
    </w:p>
    <w:sectPr>
      <w:headerReference r:id="rId16" w:type="default"/>
      <w:headerReference r:id="rId17" w:type="first"/>
      <w:footerReference r:id="rId18"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rPr/>
    </w:pPr>
    <w:r w:rsidDel="00000000" w:rsidR="00000000" w:rsidRPr="00000000">
      <w:rPr/>
      <w:drawing>
        <wp:inline distB="114300" distT="114300" distL="114300" distR="114300">
          <wp:extent cx="1404938" cy="786346"/>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04938" cy="786346"/>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app.box.com/file/1834863316392?s=t5t8956q8vyl057qdhvnynexqleijc0q" TargetMode="External"/><Relationship Id="rId10" Type="http://schemas.openxmlformats.org/officeDocument/2006/relationships/hyperlink" Target="https://app.box.com/file/1834863316392?s=t5t8956q8vyl057qdhvnynexqleijc0q" TargetMode="External"/><Relationship Id="rId13" Type="http://schemas.openxmlformats.org/officeDocument/2006/relationships/hyperlink" Target="https://app.box.com/file/1834872738839?s=i9rlyzn36t684i3chrjqw0j3wbn08cie" TargetMode="External"/><Relationship Id="rId12" Type="http://schemas.openxmlformats.org/officeDocument/2006/relationships/hyperlink" Target="https://app.box.com/file/1834872738839?s=i9rlyzn36t684i3chrjqw0j3wbn08ci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inkedin.com/pulse/panels-dont-solve-problems-strategic-convenings-do-zia-khan-9qhpe/?trackingId=zR5JwKZhSjuALap7tvknPg%3D%3D" TargetMode="External"/><Relationship Id="rId15" Type="http://schemas.openxmlformats.org/officeDocument/2006/relationships/hyperlink" Target="https://app.box.com/file/1834869758164?s=pvk17ab1j0o3a7x02atbqj0gkfhw198t" TargetMode="External"/><Relationship Id="rId14" Type="http://schemas.openxmlformats.org/officeDocument/2006/relationships/hyperlink" Target="https://app.box.com/file/1834869758164?s=pvk17ab1j0o3a7x02atbqj0gkfhw198t" TargetMode="External"/><Relationship Id="rId17" Type="http://schemas.openxmlformats.org/officeDocument/2006/relationships/header" Target="header2.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www.linkedin.com/pulse/panels-dont-solve-problems-strategic-convenings-do-zia-khan-9qhpe/?trackingId=zR5JwKZhSjuALap7tvknPg%3D%3D" TargetMode="External"/><Relationship Id="rId18" Type="http://schemas.openxmlformats.org/officeDocument/2006/relationships/footer" Target="footer1.xml"/><Relationship Id="rId7" Type="http://schemas.openxmlformats.org/officeDocument/2006/relationships/hyperlink" Target="https://www.linkedin.com/pulse/panels-dont-solve-problems-strategic-convenings-do-zia-khan-9qhpe/?trackingId=zR5JwKZhSjuALap7tvknPg%3D%3D" TargetMode="External"/><Relationship Id="rId8" Type="http://schemas.openxmlformats.org/officeDocument/2006/relationships/hyperlink" Target="https://www.linkedin.com/pulse/panels-dont-solve-problems-strategic-convenings-do-zia-khan-9qhpe/?trackingId=zR5JwKZhSjuALap7tvknPg%3D%3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